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6902B7" w:rsidP="00452F21">
      <w:pPr>
        <w:shd w:val="clear" w:color="auto" w:fill="FFFFFF"/>
        <w:tabs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6902B7" w:rsidRDefault="006902B7" w:rsidP="00452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902B7" w:rsidRPr="0094295D" w:rsidRDefault="006902B7" w:rsidP="00452F21">
      <w:pPr>
        <w:jc w:val="center"/>
        <w:rPr>
          <w:b/>
          <w:sz w:val="22"/>
          <w:szCs w:val="28"/>
        </w:rPr>
      </w:pPr>
    </w:p>
    <w:p w:rsidR="006902B7" w:rsidRPr="00D47CC3" w:rsidRDefault="006902B7" w:rsidP="00452F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4539F" w:rsidRPr="0006207F" w:rsidRDefault="0094539F" w:rsidP="00452F21">
      <w:pPr>
        <w:jc w:val="center"/>
        <w:rPr>
          <w:b/>
          <w:sz w:val="36"/>
          <w:szCs w:val="16"/>
        </w:rPr>
      </w:pPr>
    </w:p>
    <w:p w:rsidR="006902B7" w:rsidRPr="00E01CF4" w:rsidRDefault="00FF121B" w:rsidP="00452F21">
      <w:pPr>
        <w:jc w:val="center"/>
        <w:rPr>
          <w:sz w:val="28"/>
        </w:rPr>
      </w:pPr>
      <w:r w:rsidRPr="00FF121B">
        <w:rPr>
          <w:sz w:val="28"/>
          <w:szCs w:val="16"/>
        </w:rPr>
        <w:t>14.06.2023</w:t>
      </w:r>
      <w:r w:rsidR="006902B7" w:rsidRPr="00FF121B">
        <w:rPr>
          <w:sz w:val="28"/>
        </w:rPr>
        <w:t xml:space="preserve"> №</w:t>
      </w:r>
      <w:r w:rsidR="00227262" w:rsidRPr="00FF121B">
        <w:rPr>
          <w:sz w:val="28"/>
        </w:rPr>
        <w:t xml:space="preserve"> </w:t>
      </w:r>
      <w:r w:rsidRPr="00FF121B">
        <w:rPr>
          <w:sz w:val="28"/>
        </w:rPr>
        <w:t>589 –</w:t>
      </w:r>
      <w:r>
        <w:rPr>
          <w:sz w:val="28"/>
        </w:rPr>
        <w:t xml:space="preserve"> ПГ</w:t>
      </w:r>
    </w:p>
    <w:p w:rsidR="00227262" w:rsidRPr="007456DB" w:rsidRDefault="00227262" w:rsidP="00452F21">
      <w:pPr>
        <w:jc w:val="center"/>
        <w:rPr>
          <w:sz w:val="28"/>
        </w:rPr>
      </w:pPr>
    </w:p>
    <w:p w:rsidR="006902B7" w:rsidRPr="00D47CC3" w:rsidRDefault="006902B7" w:rsidP="00452F21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94295D" w:rsidRDefault="006902B7" w:rsidP="00452F21">
      <w:pPr>
        <w:shd w:val="clear" w:color="auto" w:fill="FFFFFF"/>
        <w:tabs>
          <w:tab w:val="center" w:pos="4677"/>
          <w:tab w:val="right" w:pos="9355"/>
        </w:tabs>
        <w:jc w:val="center"/>
        <w:rPr>
          <w:sz w:val="18"/>
        </w:rPr>
      </w:pPr>
    </w:p>
    <w:p w:rsidR="006902B7" w:rsidRPr="0094295D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14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7456DB" w:rsidRPr="0094295D" w:rsidRDefault="007456DB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6"/>
        </w:rPr>
      </w:pPr>
    </w:p>
    <w:p w:rsidR="006902B7" w:rsidRDefault="006902B7" w:rsidP="000923CB">
      <w:pPr>
        <w:pStyle w:val="af8"/>
        <w:spacing w:line="264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6219A">
        <w:rPr>
          <w:sz w:val="28"/>
          <w:szCs w:val="28"/>
        </w:rPr>
        <w:t>ование Подмосковья» на 2020-2026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0923CB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6446C6">
        <w:rPr>
          <w:sz w:val="28"/>
          <w:szCs w:val="28"/>
        </w:rPr>
        <w:t>, от 14.03.2023 № 1306-ПГ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9637FE" w:rsidRDefault="009637FE" w:rsidP="000923CB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Пункт 1 </w:t>
      </w:r>
      <w:r w:rsidR="000923CB">
        <w:rPr>
          <w:sz w:val="28"/>
          <w:szCs w:val="28"/>
          <w:highlight w:val="white"/>
        </w:rPr>
        <w:t>«Паспорт муниципальной программы» изложить в новой редакции (приложение 1).</w:t>
      </w:r>
    </w:p>
    <w:p w:rsidR="0094295D" w:rsidRPr="00C346F3" w:rsidRDefault="0094295D" w:rsidP="000923CB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</w:t>
      </w:r>
      <w:r w:rsidR="009637FE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Пункт 6 «Значения результатов выполнения мероприятий муниципальной программы городского округа Котельники Московской области «Образование» </w:t>
      </w:r>
      <w:r w:rsidR="00DF0B32">
        <w:rPr>
          <w:sz w:val="28"/>
          <w:szCs w:val="28"/>
          <w:highlight w:val="white"/>
        </w:rPr>
        <w:t xml:space="preserve">изложить в новой редакции </w:t>
      </w:r>
      <w:r>
        <w:rPr>
          <w:sz w:val="28"/>
          <w:szCs w:val="28"/>
          <w:highlight w:val="white"/>
        </w:rPr>
        <w:t xml:space="preserve">(приложение </w:t>
      </w:r>
      <w:r w:rsidR="000923CB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>).</w:t>
      </w:r>
    </w:p>
    <w:p w:rsidR="0006207F" w:rsidRDefault="00C346F3" w:rsidP="000923CB">
      <w:pPr>
        <w:pStyle w:val="Standard"/>
        <w:shd w:val="clear" w:color="auto" w:fill="FFFFFF"/>
        <w:tabs>
          <w:tab w:val="left" w:pos="1560"/>
        </w:tabs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637FE">
        <w:rPr>
          <w:bCs/>
          <w:sz w:val="28"/>
          <w:szCs w:val="28"/>
        </w:rPr>
        <w:t>3</w:t>
      </w:r>
      <w:r w:rsidR="00E01CF4">
        <w:rPr>
          <w:bCs/>
          <w:sz w:val="28"/>
          <w:szCs w:val="28"/>
        </w:rPr>
        <w:t xml:space="preserve">.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94295D">
        <w:rPr>
          <w:bCs/>
          <w:sz w:val="28"/>
          <w:szCs w:val="28"/>
        </w:rPr>
        <w:t xml:space="preserve"> </w:t>
      </w:r>
      <w:r w:rsidR="000923CB">
        <w:rPr>
          <w:bCs/>
          <w:sz w:val="28"/>
          <w:szCs w:val="28"/>
        </w:rPr>
        <w:t>3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0923CB">
      <w:pPr>
        <w:pStyle w:val="ConsPlusCell"/>
        <w:spacing w:line="264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FF121B" w:rsidRDefault="00624121" w:rsidP="00FF121B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FF121B" w:rsidSect="000923CB">
          <w:headerReference w:type="default" r:id="rId9"/>
          <w:footerReference w:type="default" r:id="rId10"/>
          <w:pgSz w:w="11906" w:h="16838"/>
          <w:pgMar w:top="709" w:right="566" w:bottom="709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2111"/>
      </w:tblGrid>
      <w:tr w:rsidR="00452F21" w:rsidRPr="00452F21" w:rsidTr="00452F21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452F21" w:rsidRPr="00452F21" w:rsidTr="00452F21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 Котельники Московской области</w:t>
            </w:r>
          </w:p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от 14.06.2023 </w:t>
            </w: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589 – ПГ</w:t>
            </w:r>
          </w:p>
        </w:tc>
      </w:tr>
      <w:tr w:rsidR="00452F21" w:rsidRPr="00452F21" w:rsidTr="00452F21">
        <w:trPr>
          <w:trHeight w:val="28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52F21" w:rsidRPr="00452F21" w:rsidTr="00452F21">
        <w:trPr>
          <w:trHeight w:val="31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452F21" w:rsidRPr="00452F21" w:rsidTr="00452F21">
        <w:trPr>
          <w:trHeight w:val="5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452F21" w:rsidRPr="00452F21" w:rsidTr="00452F21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452F21" w:rsidRPr="00452F21" w:rsidTr="00452F21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452F21" w:rsidRPr="00452F21" w:rsidTr="00452F21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452F21" w:rsidRPr="00452F21" w:rsidTr="00452F21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452F21" w:rsidRPr="00452F21" w:rsidTr="00452F21">
        <w:trPr>
          <w:trHeight w:val="45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452F21" w:rsidRPr="00452F21" w:rsidTr="00452F21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452F21" w:rsidRPr="00452F21" w:rsidTr="00452F21">
        <w:trPr>
          <w:trHeight w:val="156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452F21" w:rsidRPr="00452F21" w:rsidTr="00452F21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452F21" w:rsidRPr="00452F21" w:rsidTr="00452F21">
        <w:trPr>
          <w:trHeight w:val="9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452F21" w:rsidRPr="00452F21" w:rsidTr="00452F21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452F21" w:rsidRPr="00452F21" w:rsidTr="00452F21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452F21" w:rsidRPr="00452F21" w:rsidTr="00452F21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1 984 985,24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745 939,70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F21" w:rsidRPr="00452F21" w:rsidTr="00452F21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756 873,34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296 860,05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F21" w:rsidRPr="00452F21" w:rsidTr="00452F21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F21" w:rsidRPr="00452F21" w:rsidTr="00452F21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77 515,86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25 476,40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F21" w:rsidRPr="00452F21" w:rsidTr="00452F21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2 819 374,44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1 068 276,15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452F21" w:rsidRDefault="00452F21" w:rsidP="00FF121B">
      <w:pPr>
        <w:pStyle w:val="ConsPlusCell"/>
        <w:jc w:val="both"/>
        <w:sectPr w:rsidR="00452F21" w:rsidSect="00452F21">
          <w:pgSz w:w="16838" w:h="11906" w:orient="landscape"/>
          <w:pgMar w:top="1134" w:right="709" w:bottom="566" w:left="709" w:header="450" w:footer="458" w:gutter="0"/>
          <w:cols w:space="720"/>
          <w:titlePg/>
          <w:docGrid w:linePitch="360"/>
        </w:sectPr>
      </w:pPr>
    </w:p>
    <w:tbl>
      <w:tblPr>
        <w:tblW w:w="14908" w:type="dxa"/>
        <w:tblLook w:val="04A0" w:firstRow="1" w:lastRow="0" w:firstColumn="1" w:lastColumn="0" w:noHBand="0" w:noVBand="1"/>
      </w:tblPr>
      <w:tblGrid>
        <w:gridCol w:w="960"/>
        <w:gridCol w:w="1618"/>
        <w:gridCol w:w="1460"/>
        <w:gridCol w:w="1435"/>
        <w:gridCol w:w="3600"/>
        <w:gridCol w:w="1202"/>
        <w:gridCol w:w="5140"/>
      </w:tblGrid>
      <w:tr w:rsidR="00452F21" w:rsidRPr="00452F21" w:rsidTr="00452F21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2 </w:t>
            </w:r>
          </w:p>
        </w:tc>
      </w:tr>
      <w:tr w:rsidR="00452F21" w:rsidRPr="00452F21" w:rsidTr="00452F21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            от 14.06.2023 </w:t>
            </w: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589 – ПГ</w:t>
            </w:r>
          </w:p>
        </w:tc>
      </w:tr>
      <w:tr w:rsidR="00452F21" w:rsidRPr="00452F21" w:rsidTr="00452F2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452F21" w:rsidRPr="00452F21" w:rsidTr="00452F21">
        <w:trPr>
          <w:trHeight w:val="235"/>
        </w:trPr>
        <w:tc>
          <w:tcPr>
            <w:tcW w:w="1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6. Значения результатов выполнения мероприятий муниципальной программы городского округа Котельники Московской области «Образование»</w:t>
            </w:r>
          </w:p>
        </w:tc>
      </w:tr>
      <w:tr w:rsidR="00452F21" w:rsidRPr="00452F21" w:rsidTr="00452F21">
        <w:trPr>
          <w:trHeight w:val="6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№ п/п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№ подпрограммы ХХ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№ основного мероприятия YY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№ мероприятия ZZ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Наименование результата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Единица измерения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Порядок определения значений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7</w:t>
            </w:r>
          </w:p>
        </w:tc>
      </w:tr>
      <w:tr w:rsidR="00452F21" w:rsidRPr="00452F21" w:rsidTr="00452F21">
        <w:trPr>
          <w:trHeight w:val="35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52F21" w:rsidRPr="00452F21" w:rsidTr="00452F21">
        <w:trPr>
          <w:trHeight w:val="36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52F21" w:rsidRPr="00452F21" w:rsidTr="00452F21">
        <w:trPr>
          <w:trHeight w:val="28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452F21" w:rsidRPr="00452F21" w:rsidTr="00452F21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52F21" w:rsidRPr="00452F21" w:rsidTr="00452F21">
        <w:trPr>
          <w:trHeight w:val="16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обеспеченных горячим питанием обучающихся 1-4 классов</w:t>
            </w:r>
          </w:p>
        </w:tc>
      </w:tr>
      <w:tr w:rsidR="00452F21" w:rsidRPr="00452F21" w:rsidTr="00452F21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Д=Ч факт / Ч посещ х 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452F21" w:rsidRPr="00452F21" w:rsidTr="00452F21">
        <w:trPr>
          <w:trHeight w:val="8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место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452F21" w:rsidRPr="00452F21" w:rsidTr="00452F21">
        <w:trPr>
          <w:trHeight w:val="9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отремонтированных дошкольных образовательных организаций</w:t>
            </w:r>
          </w:p>
        </w:tc>
      </w:tr>
      <w:tr w:rsidR="00452F21" w:rsidRPr="00452F21" w:rsidTr="00452F21">
        <w:trPr>
          <w:trHeight w:val="5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52F21" w:rsidRPr="00452F21" w:rsidTr="00452F21">
        <w:trPr>
          <w:trHeight w:val="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52F21" w:rsidRPr="00452F21" w:rsidTr="00452F21">
        <w:trPr>
          <w:trHeight w:val="9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452F21" w:rsidRPr="00452F21" w:rsidTr="00452F21">
        <w:trPr>
          <w:trHeight w:val="11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человек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452F21" w:rsidRPr="00452F21" w:rsidTr="00452F21">
        <w:trPr>
          <w:trHeight w:val="10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52F21" w:rsidRPr="00452F21" w:rsidTr="00452F21">
        <w:trPr>
          <w:trHeight w:val="7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452F21" w:rsidRPr="00452F21" w:rsidTr="00452F21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52F21" w:rsidRPr="00452F21" w:rsidTr="00452F21">
        <w:trPr>
          <w:trHeight w:val="22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52F21" w:rsidRPr="00452F21" w:rsidTr="00452F21">
        <w:trPr>
          <w:trHeight w:val="9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452F21" w:rsidRPr="00452F21" w:rsidTr="00452F21">
        <w:trPr>
          <w:trHeight w:val="9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452F21" w:rsidRPr="00452F21" w:rsidTr="00452F21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452F21" w:rsidRPr="00452F21" w:rsidTr="00452F21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Е2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Обновление МТБ в соответствии с адресным перечнем на текущий год</w:t>
            </w:r>
          </w:p>
        </w:tc>
      </w:tr>
      <w:tr w:rsidR="00452F21" w:rsidRPr="00452F21" w:rsidTr="00452F21">
        <w:trPr>
          <w:trHeight w:val="7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Р2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Д_в=К_в/К_ов×100%, где: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452F21">
              <w:rPr>
                <w:color w:val="000000"/>
                <w:sz w:val="22"/>
                <w:lang w:eastAsia="ru-RU" w:bidi="ar-SA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52F21" w:rsidRPr="00452F21" w:rsidTr="00452F21">
        <w:trPr>
          <w:trHeight w:val="34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Р2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место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452F21" w:rsidRPr="00452F21" w:rsidTr="00452F21">
        <w:trPr>
          <w:trHeight w:val="5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человек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Общее количество получателей единовременной выплаты</w:t>
            </w:r>
          </w:p>
        </w:tc>
      </w:tr>
      <w:tr w:rsidR="00452F21" w:rsidRPr="00452F21" w:rsidTr="00452F21">
        <w:trPr>
          <w:trHeight w:val="4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452F21" w:rsidRPr="00452F21" w:rsidTr="00452F21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человек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 </w:t>
            </w:r>
          </w:p>
        </w:tc>
      </w:tr>
      <w:tr w:rsidR="00452F21" w:rsidRPr="00452F21" w:rsidTr="00452F2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Е4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Созданы центры цифрового образования детей "IT-куб"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452F21" w:rsidRPr="00452F21" w:rsidTr="00452F21">
        <w:trPr>
          <w:trHeight w:val="9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 xml:space="preserve"> 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452F21" w:rsidRPr="00452F21" w:rsidTr="00452F21">
        <w:trPr>
          <w:trHeight w:val="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Е1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Созданы детские технопарки «Кванториум»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Соглашение с ФОИВ по федеральному проекту «Современная школа»</w:t>
            </w:r>
          </w:p>
        </w:tc>
      </w:tr>
      <w:tr w:rsidR="00452F21" w:rsidRPr="00452F21" w:rsidTr="00452F21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52F21">
              <w:rPr>
                <w:color w:val="000000"/>
                <w:sz w:val="22"/>
                <w:lang w:eastAsia="ru-RU" w:bidi="ar-SA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452F21" w:rsidRDefault="00452F21" w:rsidP="00452F21">
      <w:pPr>
        <w:pStyle w:val="ConsPlusCell"/>
        <w:pBdr>
          <w:top w:val="none" w:sz="4" w:space="31" w:color="000000"/>
        </w:pBdr>
        <w:jc w:val="both"/>
        <w:sectPr w:rsidR="00452F21" w:rsidSect="00452F21">
          <w:pgSz w:w="16838" w:h="11906" w:orient="landscape"/>
          <w:pgMar w:top="426" w:right="709" w:bottom="1843" w:left="709" w:header="450" w:footer="458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16"/>
        <w:gridCol w:w="2920"/>
        <w:gridCol w:w="1324"/>
        <w:gridCol w:w="1660"/>
        <w:gridCol w:w="1000"/>
        <w:gridCol w:w="730"/>
        <w:gridCol w:w="560"/>
        <w:gridCol w:w="540"/>
        <w:gridCol w:w="516"/>
        <w:gridCol w:w="580"/>
        <w:gridCol w:w="1000"/>
        <w:gridCol w:w="860"/>
        <w:gridCol w:w="860"/>
        <w:gridCol w:w="780"/>
        <w:gridCol w:w="1889"/>
      </w:tblGrid>
      <w:tr w:rsidR="00452F21" w:rsidRPr="00452F21" w:rsidTr="00B93B49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Приложение 3</w:t>
            </w:r>
          </w:p>
        </w:tc>
      </w:tr>
      <w:tr w:rsidR="00452F21" w:rsidRPr="00452F21" w:rsidTr="00B93B49">
        <w:trPr>
          <w:trHeight w:val="8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52F21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              от 14.06.2023 </w:t>
            </w: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589 – ПГ</w:t>
            </w:r>
          </w:p>
        </w:tc>
      </w:tr>
      <w:tr w:rsidR="00452F21" w:rsidRPr="00452F21" w:rsidTr="00B93B49">
        <w:trPr>
          <w:trHeight w:val="435"/>
        </w:trPr>
        <w:tc>
          <w:tcPr>
            <w:tcW w:w="15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52F21">
              <w:rPr>
                <w:color w:val="000000"/>
                <w:sz w:val="24"/>
                <w:szCs w:val="24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2 391 762,77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806 459,59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1 706 284,00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573 544,00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654 285,77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222 588,59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bookmarkStart w:id="1" w:name="_GoBack"/>
        <w:bookmarkEnd w:id="1"/>
      </w:tr>
      <w:tr w:rsidR="00452F21" w:rsidRPr="00452F21" w:rsidTr="00B93B4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1 686 942,31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562 576,77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5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1 483 647,00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172 102,31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57 700,77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7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10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7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9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10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10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212 878,92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65 253,64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8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212 878,92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65 253,64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8 780,00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8 780,00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253 978,77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84 605,59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253 978,77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84 605,59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121 358,67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39 801,56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61 134,04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20 102,50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16 741,67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5 505,56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452F21">
              <w:rPr>
                <w:color w:val="000000"/>
                <w:szCs w:val="20"/>
                <w:lang w:eastAsia="ru-RU" w:bidi="ar-SA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78 646,67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7 864,67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42 470,00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33 593,00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8 877,00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2 971,00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178 777,50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178 777,50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119 651,60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119 651,60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178 777,50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178 777,50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119 651,60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119 651,60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7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9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10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10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452F21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11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452F2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9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00"/>
        </w:trPr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2 818 374,44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1 067 276,15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452F21" w:rsidRPr="00452F21" w:rsidTr="00B93B49">
        <w:trPr>
          <w:trHeight w:val="420"/>
        </w:trPr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1 984 985,24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745 939,70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630"/>
        </w:trPr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755 873,34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295 860,05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315"/>
        </w:trPr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452F21" w:rsidRPr="00452F21" w:rsidTr="00B93B49">
        <w:trPr>
          <w:trHeight w:val="450"/>
        </w:trPr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77 515,86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25 476,40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52F2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21" w:rsidRPr="00452F21" w:rsidRDefault="00452F21" w:rsidP="00452F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1A48F3" w:rsidRDefault="001A48F3" w:rsidP="00452F21">
      <w:pPr>
        <w:pStyle w:val="ConsPlusCell"/>
        <w:pBdr>
          <w:top w:val="none" w:sz="4" w:space="31" w:color="000000"/>
        </w:pBdr>
        <w:jc w:val="both"/>
      </w:pPr>
    </w:p>
    <w:sectPr w:rsidR="001A48F3" w:rsidSect="00452F21">
      <w:pgSz w:w="16838" w:h="11906" w:orient="landscape"/>
      <w:pgMar w:top="426" w:right="709" w:bottom="1843" w:left="709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21" w:rsidRDefault="00452F21">
      <w:r>
        <w:separator/>
      </w:r>
    </w:p>
  </w:endnote>
  <w:endnote w:type="continuationSeparator" w:id="0">
    <w:p w:rsidR="00452F21" w:rsidRDefault="0045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21" w:rsidRDefault="00452F21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21" w:rsidRDefault="00452F21">
      <w:r>
        <w:separator/>
      </w:r>
    </w:p>
  </w:footnote>
  <w:footnote w:type="continuationSeparator" w:id="0">
    <w:p w:rsidR="00452F21" w:rsidRDefault="0045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646099"/>
      <w:docPartObj>
        <w:docPartGallery w:val="Page Numbers (Top of Page)"/>
        <w:docPartUnique/>
      </w:docPartObj>
    </w:sdtPr>
    <w:sdtContent>
      <w:p w:rsidR="00452F21" w:rsidRPr="00842BB5" w:rsidRDefault="00452F2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B93B49">
          <w:rPr>
            <w:noProof/>
            <w:sz w:val="28"/>
          </w:rPr>
          <w:t>29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F21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92166"/>
    <w:rsid w:val="00594952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322E"/>
    <w:rsid w:val="006C6188"/>
    <w:rsid w:val="006D4122"/>
    <w:rsid w:val="006E5224"/>
    <w:rsid w:val="006E7A00"/>
    <w:rsid w:val="006F15AF"/>
    <w:rsid w:val="006F3732"/>
    <w:rsid w:val="0070716E"/>
    <w:rsid w:val="00712452"/>
    <w:rsid w:val="00721EC8"/>
    <w:rsid w:val="00726A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8321E"/>
    <w:rsid w:val="007B35CC"/>
    <w:rsid w:val="007B3A80"/>
    <w:rsid w:val="007C2075"/>
    <w:rsid w:val="007C24DE"/>
    <w:rsid w:val="007C53CC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93859"/>
    <w:rsid w:val="008B164B"/>
    <w:rsid w:val="008C60E6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7358"/>
    <w:rsid w:val="00A024AB"/>
    <w:rsid w:val="00A05141"/>
    <w:rsid w:val="00A13373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907BF"/>
    <w:rsid w:val="00B93B49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9535B"/>
    <w:rsid w:val="00EA5A47"/>
    <w:rsid w:val="00EF505E"/>
    <w:rsid w:val="00F142AC"/>
    <w:rsid w:val="00F15893"/>
    <w:rsid w:val="00F25283"/>
    <w:rsid w:val="00F27E3A"/>
    <w:rsid w:val="00F44301"/>
    <w:rsid w:val="00F5309E"/>
    <w:rsid w:val="00F64171"/>
    <w:rsid w:val="00F646DD"/>
    <w:rsid w:val="00F74B1D"/>
    <w:rsid w:val="00F76E8A"/>
    <w:rsid w:val="00FA6F3A"/>
    <w:rsid w:val="00FC5BD2"/>
    <w:rsid w:val="00FF121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6B0F8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5">
    <w:name w:val="xl4705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6">
    <w:name w:val="xl4706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2">
    <w:name w:val="xl4722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3">
    <w:name w:val="xl4723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7">
    <w:name w:val="xl4737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4">
    <w:name w:val="xl4744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5">
    <w:name w:val="xl4745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7">
    <w:name w:val="xl474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452F21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452F2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452F21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452F21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FFE9-FFB7-49A1-856E-60AD5DA8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Мыцикова К А</dc:creator>
  <cp:lastModifiedBy>Мыцикова К А</cp:lastModifiedBy>
  <cp:revision>2</cp:revision>
  <cp:lastPrinted>2023-06-14T14:18:00Z</cp:lastPrinted>
  <dcterms:created xsi:type="dcterms:W3CDTF">2023-06-28T12:49:00Z</dcterms:created>
  <dcterms:modified xsi:type="dcterms:W3CDTF">2023-06-28T12:49:00Z</dcterms:modified>
</cp:coreProperties>
</file>